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F6F0" w14:textId="739BC739" w:rsidR="00B50C33" w:rsidRDefault="00B50C33" w:rsidP="00CC39F1"/>
    <w:p w14:paraId="58FE722A" w14:textId="77777777" w:rsidR="005A0D20" w:rsidRDefault="005A0D20" w:rsidP="005A0D20">
      <w:pPr>
        <w:rPr>
          <w:rFonts w:ascii="Arial" w:eastAsia="Times New Roman" w:hAnsi="Arial" w:cs="Arial"/>
          <w:color w:val="000000"/>
          <w:sz w:val="21"/>
          <w:szCs w:val="21"/>
        </w:rPr>
      </w:pPr>
      <w:r>
        <w:rPr>
          <w:rFonts w:ascii="Arial" w:eastAsia="Times New Roman" w:hAnsi="Arial" w:cs="Arial"/>
          <w:b/>
          <w:bCs/>
          <w:color w:val="222222"/>
          <w:sz w:val="27"/>
          <w:szCs w:val="27"/>
        </w:rPr>
        <w:t>Issue Number:    IR-2020-57</w:t>
      </w:r>
    </w:p>
    <w:p w14:paraId="346E9C96" w14:textId="77777777" w:rsidR="005A0D20" w:rsidRDefault="005A0D20" w:rsidP="005A0D20">
      <w:pPr>
        <w:rPr>
          <w:rFonts w:ascii="Arial" w:eastAsia="Times New Roman" w:hAnsi="Arial" w:cs="Arial"/>
          <w:color w:val="000000"/>
          <w:sz w:val="21"/>
          <w:szCs w:val="21"/>
        </w:rPr>
      </w:pPr>
      <w:r>
        <w:rPr>
          <w:rFonts w:ascii="Arial" w:eastAsia="Times New Roman" w:hAnsi="Arial" w:cs="Arial"/>
          <w:b/>
          <w:bCs/>
          <w:color w:val="222222"/>
          <w:sz w:val="27"/>
          <w:szCs w:val="27"/>
        </w:rPr>
        <w:t>IRS Newswire</w:t>
      </w:r>
    </w:p>
    <w:p w14:paraId="1279EC7A" w14:textId="77777777" w:rsidR="005A0D20" w:rsidRDefault="005A0D20" w:rsidP="005A0D20">
      <w:pPr>
        <w:rPr>
          <w:rFonts w:ascii="Arial" w:eastAsia="Times New Roman" w:hAnsi="Arial" w:cs="Arial"/>
          <w:color w:val="000000"/>
          <w:sz w:val="21"/>
          <w:szCs w:val="21"/>
        </w:rPr>
      </w:pPr>
      <w:r>
        <w:rPr>
          <w:rFonts w:ascii="Arial" w:eastAsia="Times New Roman" w:hAnsi="Arial" w:cs="Arial"/>
          <w:b/>
          <w:bCs/>
          <w:color w:val="222222"/>
          <w:sz w:val="27"/>
          <w:szCs w:val="27"/>
        </w:rPr>
        <w:t>March 20,2020</w:t>
      </w:r>
    </w:p>
    <w:p w14:paraId="6A71D0D2"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Treasury, IRS and Labor announce plan to implement Coronavirus-related paid leave for workers and tax credits for small and midsize businesses to swiftly recover the cost of providing Coronavirus-related leave</w:t>
      </w:r>
    </w:p>
    <w:p w14:paraId="2B64F397"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w:t>
      </w:r>
    </w:p>
    <w:p w14:paraId="5AE19F87"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WASHINGTON – Today the U.S. Treasury Department, Internal Revenue Service (IRS), and the U.S. Department of Labor (Labor) announced that 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Families First Coronavirus Response Act (Act), signed by President Trump on March 18, 2020.</w:t>
      </w:r>
    </w:p>
    <w:p w14:paraId="1CB1D650"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w:t>
      </w:r>
    </w:p>
    <w:p w14:paraId="19B0379E" w14:textId="1D75CF09"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The Act will help the United States combat and defeat COVID-19 by giving all American businesses with fewer than 500 employees funds to provide employees with paid leave, either for the employee’s own health needs or to care for family members. The legislation will enable employers to keep their workers on their payrolls, while at the same time ensuring that workers are not forced to choose between their paychecks and the public health measures needed to combat the virus.</w:t>
      </w:r>
    </w:p>
    <w:p w14:paraId="2D6FD175" w14:textId="61028692"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Key Takeaways</w:t>
      </w:r>
    </w:p>
    <w:p w14:paraId="35C34C32" w14:textId="77777777" w:rsidR="005A0D20" w:rsidRDefault="005A0D20" w:rsidP="005A0D20">
      <w:pPr>
        <w:numPr>
          <w:ilvl w:val="0"/>
          <w:numId w:val="14"/>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Paid Sick Leave for Workers </w:t>
      </w:r>
    </w:p>
    <w:p w14:paraId="204EFA13"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 xml:space="preserve">For COVID-19 related reasons, employees receive up to 80 hours of paid sick leave and expanded paid </w:t>
      </w:r>
      <w:proofErr w:type="gramStart"/>
      <w:r>
        <w:rPr>
          <w:rFonts w:ascii="Arial" w:eastAsia="Times New Roman" w:hAnsi="Arial" w:cs="Arial"/>
          <w:color w:val="222222"/>
          <w:sz w:val="24"/>
          <w:szCs w:val="24"/>
        </w:rPr>
        <w:t>child care</w:t>
      </w:r>
      <w:proofErr w:type="gramEnd"/>
      <w:r>
        <w:rPr>
          <w:rFonts w:ascii="Arial" w:eastAsia="Times New Roman" w:hAnsi="Arial" w:cs="Arial"/>
          <w:color w:val="222222"/>
          <w:sz w:val="24"/>
          <w:szCs w:val="24"/>
        </w:rPr>
        <w:t xml:space="preserve"> leave when employees’ children’s schools are closed or child care providers are unavailable.</w:t>
      </w:r>
    </w:p>
    <w:p w14:paraId="10DC7190" w14:textId="77777777" w:rsidR="005A0D20" w:rsidRDefault="005A0D20" w:rsidP="005A0D20">
      <w:pPr>
        <w:numPr>
          <w:ilvl w:val="0"/>
          <w:numId w:val="14"/>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Complete Coverage</w:t>
      </w:r>
    </w:p>
    <w:p w14:paraId="73FD5FCD"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Health insurance costs are also included in the credit.</w:t>
      </w:r>
    </w:p>
    <w:p w14:paraId="5A51280B"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Employers face no payroll tax liability.</w:t>
      </w:r>
    </w:p>
    <w:p w14:paraId="767A0F7A"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Self-employed individuals receive an equivalent credit.</w:t>
      </w:r>
    </w:p>
    <w:p w14:paraId="43B0A139" w14:textId="77777777" w:rsidR="005A0D20" w:rsidRDefault="005A0D20" w:rsidP="005A0D20">
      <w:pPr>
        <w:numPr>
          <w:ilvl w:val="0"/>
          <w:numId w:val="14"/>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Employers receive 100% reimbursement for paid leave pursuant to the Act.</w:t>
      </w:r>
    </w:p>
    <w:p w14:paraId="6A25E2BE" w14:textId="77777777" w:rsidR="005A0D20" w:rsidRDefault="005A0D20" w:rsidP="005A0D20">
      <w:pPr>
        <w:numPr>
          <w:ilvl w:val="0"/>
          <w:numId w:val="14"/>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Fast Funds</w:t>
      </w:r>
    </w:p>
    <w:p w14:paraId="4A788776"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lastRenderedPageBreak/>
        <w:t>An immediate dollar-for-dollar tax offset against payroll taxes will be provided</w:t>
      </w:r>
    </w:p>
    <w:p w14:paraId="0CF19E0D"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Where a refund is owed, the IRS will send the refund as quickly as possible.</w:t>
      </w:r>
    </w:p>
    <w:p w14:paraId="2C490695"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 </w:t>
      </w:r>
    </w:p>
    <w:p w14:paraId="088E3BE7" w14:textId="77777777" w:rsidR="005A0D20" w:rsidRDefault="005A0D20" w:rsidP="005A0D20">
      <w:pPr>
        <w:numPr>
          <w:ilvl w:val="0"/>
          <w:numId w:val="14"/>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Reimbursement will be quick and easy to obtain.</w:t>
      </w:r>
    </w:p>
    <w:p w14:paraId="539CC21E" w14:textId="77777777" w:rsidR="005A0D20" w:rsidRDefault="005A0D20" w:rsidP="005A0D20">
      <w:pPr>
        <w:numPr>
          <w:ilvl w:val="0"/>
          <w:numId w:val="14"/>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Small Business Protection</w:t>
      </w:r>
    </w:p>
    <w:p w14:paraId="22A0B0A9" w14:textId="4850CBF0"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Employers with fewer than 50 employees are eligible for an exemption from the requirements to provide leave to care for a child whose school is closed, or </w:t>
      </w:r>
      <w:proofErr w:type="gramStart"/>
      <w:r>
        <w:rPr>
          <w:rFonts w:ascii="Arial" w:eastAsia="Times New Roman" w:hAnsi="Arial" w:cs="Arial"/>
          <w:color w:val="222222"/>
          <w:sz w:val="24"/>
          <w:szCs w:val="24"/>
        </w:rPr>
        <w:t>child care</w:t>
      </w:r>
      <w:proofErr w:type="gramEnd"/>
      <w:r>
        <w:rPr>
          <w:rFonts w:ascii="Arial" w:eastAsia="Times New Roman" w:hAnsi="Arial" w:cs="Arial"/>
          <w:color w:val="222222"/>
          <w:sz w:val="24"/>
          <w:szCs w:val="24"/>
        </w:rPr>
        <w:t xml:space="preserve"> is unavailable in cases where the viability of the business is threatened.</w:t>
      </w:r>
    </w:p>
    <w:p w14:paraId="09A61A3D" w14:textId="77777777" w:rsidR="005A0D20" w:rsidRDefault="005A0D20" w:rsidP="005A0D20">
      <w:pPr>
        <w:numPr>
          <w:ilvl w:val="0"/>
          <w:numId w:val="15"/>
        </w:numPr>
        <w:spacing w:after="0" w:line="240" w:lineRule="auto"/>
        <w:ind w:left="600" w:hanging="240"/>
        <w:rPr>
          <w:rFonts w:ascii="Arial" w:eastAsia="Times New Roman" w:hAnsi="Arial" w:cs="Arial"/>
          <w:color w:val="222222"/>
          <w:sz w:val="24"/>
          <w:szCs w:val="24"/>
        </w:rPr>
      </w:pPr>
      <w:r>
        <w:rPr>
          <w:rFonts w:ascii="Arial" w:eastAsia="Times New Roman" w:hAnsi="Arial" w:cs="Arial"/>
          <w:color w:val="222222"/>
          <w:sz w:val="24"/>
          <w:szCs w:val="24"/>
        </w:rPr>
        <w:t>Easing Compliance</w:t>
      </w:r>
    </w:p>
    <w:p w14:paraId="44495DA4" w14:textId="77777777" w:rsidR="005A0D20" w:rsidRDefault="005A0D20" w:rsidP="005A0D20">
      <w:pPr>
        <w:numPr>
          <w:ilvl w:val="0"/>
          <w:numId w:val="15"/>
        </w:numPr>
        <w:spacing w:after="0" w:line="240" w:lineRule="auto"/>
        <w:ind w:left="1320" w:hanging="240"/>
        <w:rPr>
          <w:rFonts w:ascii="Arial" w:eastAsia="Times New Roman" w:hAnsi="Arial" w:cs="Arial"/>
          <w:color w:val="222222"/>
          <w:sz w:val="24"/>
          <w:szCs w:val="24"/>
        </w:rPr>
      </w:pPr>
      <w:r>
        <w:rPr>
          <w:rFonts w:ascii="Arial" w:eastAsia="Times New Roman" w:hAnsi="Arial" w:cs="Arial"/>
          <w:color w:val="222222"/>
          <w:sz w:val="24"/>
          <w:szCs w:val="24"/>
        </w:rPr>
        <w:t>Requirements subject to 30-day non-enforcement period for good faith compliance efforts.</w:t>
      </w:r>
    </w:p>
    <w:p w14:paraId="4D9A415B"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w:t>
      </w:r>
    </w:p>
    <w:p w14:paraId="3313A9EC" w14:textId="2161B46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To take immediate advantage of the paid leave credits, businesses can retain and access funds that they would otherwise pay to the IRS in payroll taxes. If those amounts are not </w:t>
      </w:r>
      <w:proofErr w:type="gramStart"/>
      <w:r>
        <w:rPr>
          <w:rFonts w:ascii="Arial" w:eastAsia="Times New Roman" w:hAnsi="Arial" w:cs="Arial"/>
          <w:color w:val="222222"/>
          <w:sz w:val="24"/>
          <w:szCs w:val="24"/>
        </w:rPr>
        <w:t>sufficient</w:t>
      </w:r>
      <w:proofErr w:type="gramEnd"/>
      <w:r>
        <w:rPr>
          <w:rFonts w:ascii="Arial" w:eastAsia="Times New Roman" w:hAnsi="Arial" w:cs="Arial"/>
          <w:color w:val="222222"/>
          <w:sz w:val="24"/>
          <w:szCs w:val="24"/>
        </w:rPr>
        <w:t xml:space="preserve"> to cover the cost of paid leave, employers can seek an expedited advance from the IRS by submitting a streamlined claim form that will be released next week.</w:t>
      </w:r>
    </w:p>
    <w:p w14:paraId="59BA9CED" w14:textId="5FBC4486"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Background</w:t>
      </w:r>
    </w:p>
    <w:p w14:paraId="4785DF3F" w14:textId="32B1F582"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The Act provided paid sick leave and expanded family and medical leave for COVID-19 related reasons and created the refundable paid sick leave credit and the paid </w:t>
      </w:r>
      <w:proofErr w:type="gramStart"/>
      <w:r>
        <w:rPr>
          <w:rFonts w:ascii="Arial" w:eastAsia="Times New Roman" w:hAnsi="Arial" w:cs="Arial"/>
          <w:color w:val="222222"/>
          <w:sz w:val="24"/>
          <w:szCs w:val="24"/>
        </w:rPr>
        <w:t>child care</w:t>
      </w:r>
      <w:proofErr w:type="gramEnd"/>
      <w:r>
        <w:rPr>
          <w:rFonts w:ascii="Arial" w:eastAsia="Times New Roman" w:hAnsi="Arial" w:cs="Arial"/>
          <w:color w:val="222222"/>
          <w:sz w:val="24"/>
          <w:szCs w:val="24"/>
        </w:rPr>
        <w:t xml:space="preserve"> leave credit for eligible employers. Eligible employers are businesses and tax-exempt organizations with fewer than 500 employees that are required to provide emergency paid sick leave and emergency paid family and medical leave under the Act. Eligible employers will be able to claim these credits based on qualifying leave they provide between the effective date and Dec. 31, 2020. Equivalent credits are available to self-employed individuals based on similar circumstances.</w:t>
      </w:r>
    </w:p>
    <w:p w14:paraId="1F1F5434" w14:textId="72CF96E8"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Paid Leave</w:t>
      </w:r>
    </w:p>
    <w:p w14:paraId="3A5ED07E" w14:textId="4FF841A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The Act provides that employees of eligible employers can receive two weeks (up to 80 hours) of paid sick leave at 100% of the employee’s pay where the employee is unable to work because the employee is quarantined, and/or experiencing COVID-19 symptoms, and seeking a medical diagnosis. 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of Health and Human Services can receive two weeks </w:t>
      </w:r>
      <w:r>
        <w:rPr>
          <w:rFonts w:ascii="Arial" w:eastAsia="Times New Roman" w:hAnsi="Arial" w:cs="Arial"/>
          <w:color w:val="222222"/>
          <w:sz w:val="24"/>
          <w:szCs w:val="24"/>
        </w:rPr>
        <w:lastRenderedPageBreak/>
        <w:t>(up to 80 hours) of paid sick leave at 2/3 the employee’s pay. An employee who is unable to work due to a need to care for a child whose school is closed, or child care provider is unavailable for reasons related to COVID-19, may in some instances receive up to an additional 10 weeks of expanded paid family and medical leave at 2/3 the employee’s pay.</w:t>
      </w:r>
    </w:p>
    <w:p w14:paraId="2D18B29C" w14:textId="2369493E"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Paid Sick Leave Credit</w:t>
      </w:r>
    </w:p>
    <w:p w14:paraId="45DC337E" w14:textId="34C66D9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For an employee who is unable to work because of Coronavirus quarantine or self-quarantine or has Coronavirus symptoms and is seeking a medical diagnosis, eligible employers may receive a refundable sick leave credit for sick leave at the employee’s regular rate of pay, up to $511 per day and $5,110 in the aggregate, for a total of 10 days.</w:t>
      </w:r>
    </w:p>
    <w:p w14:paraId="2265E4D1" w14:textId="42D419BF"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For an employee who is caring for someone with Coronavirus, or is caring for a child because the child’s school or child care facility is closed, or the child care provider is unavailable due to the Coronavirus, eligible employers may claim a credit for two-thirds of the employee’s regular rate of pay, up to $200 per day and $2,000 in the aggregate, for up to 10 days. Eligible employers are entitled to an additional tax credit determined based on costs to maintain health insurance coverage for the eligible employee during the leave period.</w:t>
      </w:r>
    </w:p>
    <w:p w14:paraId="5A545447" w14:textId="13D615ED"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Child Care Leave Credit</w:t>
      </w:r>
    </w:p>
    <w:p w14:paraId="4C3E5573" w14:textId="083B3482"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In addition to the sick leave credit, for an employee who is unable to work because of a need to care for a child whose school or child care facility is closed or whose child care provider is unavailable due to the Coronavirus, eligible employers may receive a refundable child care leave credit. This credit is equal to two-thirds of the employee’s regular pay, capped at $200 per day or $10,000 in the aggregate. Up to 10 weeks of qualifying leave can be counted towards the </w:t>
      </w:r>
      <w:r>
        <w:rPr>
          <w:rFonts w:ascii="Arial" w:eastAsia="Times New Roman" w:hAnsi="Arial" w:cs="Arial"/>
          <w:color w:val="222222"/>
          <w:sz w:val="24"/>
          <w:szCs w:val="24"/>
        </w:rPr>
        <w:t>childcare</w:t>
      </w:r>
      <w:r>
        <w:rPr>
          <w:rFonts w:ascii="Arial" w:eastAsia="Times New Roman" w:hAnsi="Arial" w:cs="Arial"/>
          <w:color w:val="222222"/>
          <w:sz w:val="24"/>
          <w:szCs w:val="24"/>
        </w:rPr>
        <w:t xml:space="preserve"> leave credit. Eligible employers are entitled to an additional tax credit determined based on costs to maintain health insurance coverage for the eligible employee during the leave period.</w:t>
      </w:r>
    </w:p>
    <w:p w14:paraId="3AE745CB" w14:textId="2D639C9E"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t>Prompt Payment for the Cost of Providing Leave</w:t>
      </w:r>
    </w:p>
    <w:p w14:paraId="556D493F"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8" w:tgtFrame="_blank" w:history="1">
        <w:r>
          <w:rPr>
            <w:rStyle w:val="Hyperlink"/>
            <w:rFonts w:ascii="Arial" w:eastAsia="Times New Roman" w:hAnsi="Arial" w:cs="Arial"/>
            <w:b/>
            <w:bCs/>
            <w:color w:val="3661BD"/>
            <w:sz w:val="24"/>
            <w:szCs w:val="24"/>
          </w:rPr>
          <w:t>Form 941</w:t>
        </w:r>
      </w:hyperlink>
      <w:r>
        <w:rPr>
          <w:rFonts w:ascii="Arial" w:eastAsia="Times New Roman" w:hAnsi="Arial" w:cs="Arial"/>
          <w:color w:val="222222"/>
          <w:sz w:val="24"/>
          <w:szCs w:val="24"/>
        </w:rPr>
        <w:t> series) with the IRS.</w:t>
      </w:r>
      <w:r>
        <w:rPr>
          <w:rFonts w:ascii="Arial" w:eastAsia="Times New Roman" w:hAnsi="Arial" w:cs="Arial"/>
          <w:color w:val="000000"/>
          <w:sz w:val="21"/>
          <w:szCs w:val="21"/>
        </w:rPr>
        <w:t xml:space="preserve"> </w:t>
      </w:r>
    </w:p>
    <w:p w14:paraId="5C9FE12F" w14:textId="77777777"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w:t>
      </w:r>
    </w:p>
    <w:p w14:paraId="07875871" w14:textId="5CE8E3DD"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lastRenderedPageBreak/>
        <w:t>Under guidance that will be released next week, eligible employers who pay qualifying sick or child care leave will be able to retain an amount of the payroll taxes equal to the amount of qualifying sick and child care leave that they paid, rather than deposit them with the IRS.</w:t>
      </w:r>
    </w:p>
    <w:p w14:paraId="580A8044" w14:textId="1A5D5BFC"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The payroll taxes that are available for retention include withheld federal income taxes, the employee share of Social Security and Medicare taxes, and the employer share of Social Security and Medicare taxes with respect to all employees.</w:t>
      </w:r>
    </w:p>
    <w:p w14:paraId="4058B58C" w14:textId="5CDE84E3"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If there are not sufficient payroll taxes to cover the cost of qualified sick and </w:t>
      </w:r>
      <w:proofErr w:type="gramStart"/>
      <w:r>
        <w:rPr>
          <w:rFonts w:ascii="Arial" w:eastAsia="Times New Roman" w:hAnsi="Arial" w:cs="Arial"/>
          <w:color w:val="222222"/>
          <w:sz w:val="24"/>
          <w:szCs w:val="24"/>
        </w:rPr>
        <w:t>child care</w:t>
      </w:r>
      <w:proofErr w:type="gramEnd"/>
      <w:r>
        <w:rPr>
          <w:rFonts w:ascii="Arial" w:eastAsia="Times New Roman" w:hAnsi="Arial" w:cs="Arial"/>
          <w:color w:val="222222"/>
          <w:sz w:val="24"/>
          <w:szCs w:val="24"/>
        </w:rPr>
        <w:t xml:space="preserve"> leave paid, employers will be able file a request for an accelerated payment from the IRS. The IRS expects to process these requests in two weeks or less. The details of this new, expedited procedure will be announced next week.</w:t>
      </w:r>
    </w:p>
    <w:p w14:paraId="076DA584" w14:textId="45040813" w:rsidR="005A0D20" w:rsidRPr="005A0D20" w:rsidRDefault="005A0D20" w:rsidP="005A0D20">
      <w:pPr>
        <w:rPr>
          <w:rFonts w:ascii="Arial" w:eastAsia="Times New Roman" w:hAnsi="Arial" w:cs="Arial"/>
          <w:b/>
          <w:bCs/>
          <w:i/>
          <w:iCs/>
          <w:color w:val="000000"/>
          <w:sz w:val="21"/>
          <w:szCs w:val="21"/>
        </w:rPr>
      </w:pPr>
      <w:r w:rsidRPr="005A0D20">
        <w:rPr>
          <w:rFonts w:ascii="Arial" w:eastAsia="Times New Roman" w:hAnsi="Arial" w:cs="Arial"/>
          <w:b/>
          <w:bCs/>
          <w:i/>
          <w:iCs/>
          <w:color w:val="222222"/>
          <w:sz w:val="24"/>
          <w:szCs w:val="24"/>
        </w:rPr>
        <w:t>Examples</w:t>
      </w:r>
    </w:p>
    <w:p w14:paraId="2D74EE38" w14:textId="0221116F"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2B00B4BD" w14:textId="53A7F929"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If an eligible employer paid $10,000 in sick leave and was required to deposit $8,000 in taxes, the employer could use the entire $8,000 of taxes in order to make qualified leave payments and file a request for an accelerated credit for the remaining $2,000. </w:t>
      </w:r>
    </w:p>
    <w:p w14:paraId="254B8702" w14:textId="3A5E31C6"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Equivalent </w:t>
      </w:r>
      <w:r>
        <w:rPr>
          <w:rFonts w:ascii="Arial" w:eastAsia="Times New Roman" w:hAnsi="Arial" w:cs="Arial"/>
          <w:color w:val="222222"/>
          <w:sz w:val="24"/>
          <w:szCs w:val="24"/>
        </w:rPr>
        <w:t>childcare</w:t>
      </w:r>
      <w:r>
        <w:rPr>
          <w:rFonts w:ascii="Arial" w:eastAsia="Times New Roman" w:hAnsi="Arial" w:cs="Arial"/>
          <w:color w:val="222222"/>
          <w:sz w:val="24"/>
          <w:szCs w:val="24"/>
        </w:rPr>
        <w:t xml:space="preserve"> leave and sick leave credit amounts are available to self-employed individuals under similar circumstances. These credits will be claimed on their income tax return and will reduce estimated tax payments.</w:t>
      </w:r>
    </w:p>
    <w:p w14:paraId="23D93821" w14:textId="3B7D88CD"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Small Business Exemption</w:t>
      </w:r>
    </w:p>
    <w:p w14:paraId="5F4B12BE" w14:textId="34543A12"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Small businesses with fewer than 50 employees will be eligible for an exemption from the leave requirements relating to school closings or </w:t>
      </w:r>
      <w:r>
        <w:rPr>
          <w:rFonts w:ascii="Arial" w:eastAsia="Times New Roman" w:hAnsi="Arial" w:cs="Arial"/>
          <w:color w:val="222222"/>
          <w:sz w:val="24"/>
          <w:szCs w:val="24"/>
        </w:rPr>
        <w:t>childcare</w:t>
      </w:r>
      <w:r>
        <w:rPr>
          <w:rFonts w:ascii="Arial" w:eastAsia="Times New Roman" w:hAnsi="Arial" w:cs="Arial"/>
          <w:color w:val="222222"/>
          <w:sz w:val="24"/>
          <w:szCs w:val="24"/>
        </w:rPr>
        <w:t xml:space="preserve"> unavailability where the requirements would jeopardize the ability of the business to continue. The exemption will be available </w:t>
      </w:r>
      <w:proofErr w:type="gramStart"/>
      <w:r>
        <w:rPr>
          <w:rFonts w:ascii="Arial" w:eastAsia="Times New Roman" w:hAnsi="Arial" w:cs="Arial"/>
          <w:color w:val="222222"/>
          <w:sz w:val="24"/>
          <w:szCs w:val="24"/>
        </w:rPr>
        <w:t>on the basis of</w:t>
      </w:r>
      <w:proofErr w:type="gramEnd"/>
      <w:r>
        <w:rPr>
          <w:rFonts w:ascii="Arial" w:eastAsia="Times New Roman" w:hAnsi="Arial" w:cs="Arial"/>
          <w:color w:val="222222"/>
          <w:sz w:val="24"/>
          <w:szCs w:val="24"/>
        </w:rPr>
        <w:t xml:space="preserve"> simple and clear criteria that make it available in circumstances involving jeopardy to the viability of an employer’s business as a going concern. Labor will provide emergency guidance and rulemaking to clearly articulate this standard.</w:t>
      </w:r>
    </w:p>
    <w:p w14:paraId="5E1AEB2C" w14:textId="1E448F8B" w:rsidR="005A0D20" w:rsidRDefault="005A0D20" w:rsidP="005A0D20">
      <w:pPr>
        <w:rPr>
          <w:rFonts w:ascii="Arial" w:eastAsia="Times New Roman" w:hAnsi="Arial" w:cs="Arial"/>
          <w:b/>
          <w:bCs/>
          <w:color w:val="222222"/>
          <w:sz w:val="24"/>
          <w:szCs w:val="24"/>
        </w:rPr>
      </w:pPr>
      <w:r w:rsidRPr="005A0D20">
        <w:rPr>
          <w:rFonts w:ascii="Arial" w:eastAsia="Times New Roman" w:hAnsi="Arial" w:cs="Arial"/>
          <w:b/>
          <w:bCs/>
          <w:color w:val="222222"/>
          <w:sz w:val="24"/>
          <w:szCs w:val="24"/>
        </w:rPr>
        <w:t> </w:t>
      </w:r>
    </w:p>
    <w:p w14:paraId="47439A84" w14:textId="77777777" w:rsidR="005A0D20" w:rsidRPr="005A0D20" w:rsidRDefault="005A0D20" w:rsidP="005A0D20">
      <w:pPr>
        <w:rPr>
          <w:rFonts w:ascii="Arial" w:eastAsia="Times New Roman" w:hAnsi="Arial" w:cs="Arial"/>
          <w:b/>
          <w:bCs/>
          <w:color w:val="000000"/>
          <w:sz w:val="21"/>
          <w:szCs w:val="21"/>
        </w:rPr>
      </w:pPr>
    </w:p>
    <w:p w14:paraId="49BCE341" w14:textId="77777777" w:rsidR="005A0D20" w:rsidRPr="005A0D20" w:rsidRDefault="005A0D20" w:rsidP="005A0D20">
      <w:pPr>
        <w:rPr>
          <w:rFonts w:ascii="Arial" w:eastAsia="Times New Roman" w:hAnsi="Arial" w:cs="Arial"/>
          <w:b/>
          <w:bCs/>
          <w:color w:val="000000"/>
          <w:sz w:val="21"/>
          <w:szCs w:val="21"/>
        </w:rPr>
      </w:pPr>
      <w:r w:rsidRPr="005A0D20">
        <w:rPr>
          <w:rFonts w:ascii="Arial" w:eastAsia="Times New Roman" w:hAnsi="Arial" w:cs="Arial"/>
          <w:b/>
          <w:bCs/>
          <w:color w:val="222222"/>
          <w:sz w:val="24"/>
          <w:szCs w:val="24"/>
        </w:rPr>
        <w:lastRenderedPageBreak/>
        <w:t>Non-Enforcement Period</w:t>
      </w:r>
    </w:p>
    <w:p w14:paraId="774039AC" w14:textId="00A98B2C" w:rsidR="005A0D20" w:rsidRDefault="005A0D20" w:rsidP="005A0D20">
      <w:pPr>
        <w:rPr>
          <w:rFonts w:ascii="Arial" w:eastAsia="Times New Roman" w:hAnsi="Arial" w:cs="Arial"/>
          <w:color w:val="000000"/>
          <w:sz w:val="21"/>
          <w:szCs w:val="21"/>
        </w:rPr>
      </w:pPr>
      <w:r>
        <w:rPr>
          <w:rFonts w:ascii="Arial" w:eastAsia="Times New Roman" w:hAnsi="Arial" w:cs="Arial"/>
          <w:color w:val="222222"/>
          <w:sz w:val="24"/>
          <w:szCs w:val="24"/>
        </w:rPr>
        <w:t xml:space="preserve">Labor will be issuing a temporary non-enforcement policy that provides </w:t>
      </w:r>
      <w:proofErr w:type="gramStart"/>
      <w:r>
        <w:rPr>
          <w:rFonts w:ascii="Arial" w:eastAsia="Times New Roman" w:hAnsi="Arial" w:cs="Arial"/>
          <w:color w:val="222222"/>
          <w:sz w:val="24"/>
          <w:szCs w:val="24"/>
        </w:rPr>
        <w:t>a period of time</w:t>
      </w:r>
      <w:proofErr w:type="gramEnd"/>
      <w:r>
        <w:rPr>
          <w:rFonts w:ascii="Arial" w:eastAsia="Times New Roman" w:hAnsi="Arial" w:cs="Arial"/>
          <w:color w:val="222222"/>
          <w:sz w:val="24"/>
          <w:szCs w:val="24"/>
        </w:rPr>
        <w:t xml:space="preserve"> for employers to come into compliance with the Act. Under this policy, Labor will not bring an enforcement action against any employer for violations of the Act so long as the employer has acted reasonably and in good faith to comply with the Act. Labor will instead focus on compliance assistance during the 30-day period.</w:t>
      </w:r>
    </w:p>
    <w:p w14:paraId="4D78F15E" w14:textId="4E9FF59F" w:rsidR="005A0D20" w:rsidRPr="005A0D20" w:rsidRDefault="005A0D20" w:rsidP="005A0D20">
      <w:pPr>
        <w:rPr>
          <w:rFonts w:ascii="Arial" w:eastAsia="Times New Roman" w:hAnsi="Arial" w:cs="Arial"/>
          <w:b/>
          <w:bCs/>
          <w:color w:val="000000"/>
          <w:sz w:val="21"/>
          <w:szCs w:val="21"/>
        </w:rPr>
      </w:pPr>
      <w:bookmarkStart w:id="0" w:name="_GoBack"/>
      <w:r w:rsidRPr="005A0D20">
        <w:rPr>
          <w:rFonts w:ascii="Arial" w:eastAsia="Times New Roman" w:hAnsi="Arial" w:cs="Arial"/>
          <w:b/>
          <w:bCs/>
          <w:color w:val="222222"/>
          <w:sz w:val="24"/>
          <w:szCs w:val="24"/>
        </w:rPr>
        <w:t>For More Information</w:t>
      </w:r>
    </w:p>
    <w:bookmarkEnd w:id="0"/>
    <w:p w14:paraId="3A36BB03" w14:textId="5E77CFBF" w:rsidR="00B443D7" w:rsidRDefault="005A0D20" w:rsidP="005A0D20">
      <w:r>
        <w:rPr>
          <w:rFonts w:ascii="Arial" w:eastAsia="Times New Roman" w:hAnsi="Arial" w:cs="Arial"/>
          <w:color w:val="222222"/>
          <w:sz w:val="24"/>
          <w:szCs w:val="24"/>
        </w:rPr>
        <w:t>For more information about these credits and other relief, visit </w:t>
      </w:r>
      <w:hyperlink r:id="rId9" w:tgtFrame="_blank" w:history="1">
        <w:r>
          <w:rPr>
            <w:rStyle w:val="Hyperlink"/>
            <w:rFonts w:ascii="Arial" w:eastAsia="Times New Roman" w:hAnsi="Arial" w:cs="Arial"/>
            <w:b/>
            <w:bCs/>
            <w:color w:val="3661BD"/>
            <w:sz w:val="24"/>
            <w:szCs w:val="24"/>
          </w:rPr>
          <w:t>Coronavirus Tax Relief</w:t>
        </w:r>
      </w:hyperlink>
      <w:r>
        <w:rPr>
          <w:rFonts w:ascii="Arial" w:eastAsia="Times New Roman" w:hAnsi="Arial" w:cs="Arial"/>
          <w:color w:val="222222"/>
          <w:sz w:val="24"/>
          <w:szCs w:val="24"/>
        </w:rPr>
        <w:t> on IRS.gov. Information regarding the process to receive an advance payment of the credit will be posted next week.     </w:t>
      </w:r>
      <w:r>
        <w:rPr>
          <w:rFonts w:ascii="Arial" w:eastAsia="Times New Roman" w:hAnsi="Arial" w:cs="Arial"/>
          <w:color w:val="000000"/>
          <w:sz w:val="21"/>
          <w:szCs w:val="21"/>
        </w:rPr>
        <w:t xml:space="preserve"> </w:t>
      </w:r>
    </w:p>
    <w:sectPr w:rsidR="00B443D7" w:rsidSect="00654F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911D" w14:textId="77777777" w:rsidR="009C6420" w:rsidRDefault="009C6420" w:rsidP="004306A2">
      <w:r>
        <w:separator/>
      </w:r>
    </w:p>
  </w:endnote>
  <w:endnote w:type="continuationSeparator" w:id="0">
    <w:p w14:paraId="73B33DCF" w14:textId="77777777" w:rsidR="009C6420" w:rsidRDefault="009C6420" w:rsidP="0043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4" w14:textId="77777777" w:rsidR="00A839C6" w:rsidRDefault="00A8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5" w14:textId="77777777" w:rsidR="004306A2" w:rsidRPr="00A839C6" w:rsidRDefault="004306A2" w:rsidP="004306A2">
    <w:pPr>
      <w:jc w:val="center"/>
      <w:rPr>
        <w:rFonts w:ascii="Arial" w:hAnsi="Arial" w:cs="Arial"/>
        <w:color w:val="7F7F7F" w:themeColor="text1" w:themeTint="80"/>
      </w:rPr>
    </w:pPr>
    <w:r w:rsidRPr="00A839C6">
      <w:rPr>
        <w:rFonts w:ascii="Arial" w:hAnsi="Arial" w:cs="Arial"/>
        <w:color w:val="7F7F7F" w:themeColor="text1" w:themeTint="80"/>
      </w:rPr>
      <w:t>P: 856.642.2949 • F: 856.642.2948</w:t>
    </w:r>
  </w:p>
  <w:p w14:paraId="43E247B6" w14:textId="77777777" w:rsidR="004306A2" w:rsidRPr="00A839C6" w:rsidRDefault="005A0D20" w:rsidP="004306A2">
    <w:pPr>
      <w:jc w:val="center"/>
      <w:rPr>
        <w:rFonts w:ascii="Arial" w:hAnsi="Arial" w:cs="Arial"/>
        <w:color w:val="7F7F7F" w:themeColor="text1" w:themeTint="80"/>
      </w:rPr>
    </w:pPr>
    <w:hyperlink r:id="rId1" w:history="1">
      <w:r w:rsidR="004306A2" w:rsidRPr="00A839C6">
        <w:rPr>
          <w:rStyle w:val="Hyperlink"/>
          <w:rFonts w:ascii="Arial" w:hAnsi="Arial" w:cs="Arial"/>
          <w:color w:val="7F7F7F" w:themeColor="text1" w:themeTint="80"/>
        </w:rPr>
        <w:t>www.saratogabenefits.com</w:t>
      </w:r>
    </w:hyperlink>
  </w:p>
  <w:p w14:paraId="43E247B7" w14:textId="77777777" w:rsidR="004306A2" w:rsidRPr="00A839C6" w:rsidRDefault="004306A2" w:rsidP="004306A2">
    <w:pPr>
      <w:jc w:val="center"/>
      <w:rPr>
        <w:rFonts w:ascii="Arial" w:hAnsi="Arial" w:cs="Arial"/>
        <w:color w:val="7F7F7F" w:themeColor="text1" w:themeTint="80"/>
      </w:rPr>
    </w:pPr>
    <w:r w:rsidRPr="00A839C6">
      <w:rPr>
        <w:rFonts w:ascii="Arial" w:hAnsi="Arial" w:cs="Arial"/>
        <w:color w:val="7F7F7F" w:themeColor="text1" w:themeTint="80"/>
      </w:rPr>
      <w:t>7 E. Main Street • Moorestown • NJ 08057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9" w14:textId="77777777" w:rsidR="00A839C6" w:rsidRDefault="00A8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BD2E" w14:textId="77777777" w:rsidR="009C6420" w:rsidRDefault="009C6420" w:rsidP="004306A2">
      <w:r>
        <w:separator/>
      </w:r>
    </w:p>
  </w:footnote>
  <w:footnote w:type="continuationSeparator" w:id="0">
    <w:p w14:paraId="7A23DA54" w14:textId="77777777" w:rsidR="009C6420" w:rsidRDefault="009C6420" w:rsidP="0043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2" w14:textId="77777777" w:rsidR="00A839C6" w:rsidRDefault="00A83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3" w14:textId="77777777" w:rsidR="004306A2" w:rsidRDefault="004306A2">
    <w:pPr>
      <w:pStyle w:val="Header"/>
    </w:pPr>
    <w:r>
      <w:t xml:space="preserve">                                                                </w:t>
    </w:r>
    <w:r>
      <w:rPr>
        <w:noProof/>
      </w:rPr>
      <w:drawing>
        <wp:inline distT="0" distB="0" distL="0" distR="0" wp14:anchorId="43E247BA" wp14:editId="43E247BB">
          <wp:extent cx="1170214" cy="8113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toga-Logo-FINAL-small.jpg"/>
                  <pic:cNvPicPr/>
                </pic:nvPicPr>
                <pic:blipFill>
                  <a:blip r:embed="rId1">
                    <a:extLst>
                      <a:ext uri="{28A0092B-C50C-407E-A947-70E740481C1C}">
                        <a14:useLocalDpi xmlns:a14="http://schemas.microsoft.com/office/drawing/2010/main" val="0"/>
                      </a:ext>
                    </a:extLst>
                  </a:blip>
                  <a:stretch>
                    <a:fillRect/>
                  </a:stretch>
                </pic:blipFill>
                <pic:spPr>
                  <a:xfrm>
                    <a:off x="0" y="0"/>
                    <a:ext cx="1171503" cy="8122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7B8" w14:textId="77777777" w:rsidR="00A839C6" w:rsidRDefault="00A8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720"/>
    <w:multiLevelType w:val="multilevel"/>
    <w:tmpl w:val="339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47B7E"/>
    <w:multiLevelType w:val="hybridMultilevel"/>
    <w:tmpl w:val="227C72EC"/>
    <w:lvl w:ilvl="0" w:tplc="A1E8D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2507"/>
    <w:multiLevelType w:val="multilevel"/>
    <w:tmpl w:val="52BA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F72FE"/>
    <w:multiLevelType w:val="multilevel"/>
    <w:tmpl w:val="94DE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77E2A"/>
    <w:multiLevelType w:val="multilevel"/>
    <w:tmpl w:val="A9EA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D2976"/>
    <w:multiLevelType w:val="multilevel"/>
    <w:tmpl w:val="8430A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B3879"/>
    <w:multiLevelType w:val="multilevel"/>
    <w:tmpl w:val="6AB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F14A0"/>
    <w:multiLevelType w:val="multilevel"/>
    <w:tmpl w:val="EB886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3511D2"/>
    <w:multiLevelType w:val="multilevel"/>
    <w:tmpl w:val="CAD6E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897DA8"/>
    <w:multiLevelType w:val="multilevel"/>
    <w:tmpl w:val="B374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F1313"/>
    <w:multiLevelType w:val="multilevel"/>
    <w:tmpl w:val="C936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A61DD8"/>
    <w:multiLevelType w:val="multilevel"/>
    <w:tmpl w:val="51F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C4264"/>
    <w:multiLevelType w:val="multilevel"/>
    <w:tmpl w:val="63C63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04675"/>
    <w:multiLevelType w:val="hybridMultilevel"/>
    <w:tmpl w:val="09A2EE12"/>
    <w:lvl w:ilvl="0" w:tplc="AEEC4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73392"/>
    <w:multiLevelType w:val="multilevel"/>
    <w:tmpl w:val="39480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0"/>
  </w:num>
  <w:num w:numId="5">
    <w:abstractNumId w:val="6"/>
  </w:num>
  <w:num w:numId="6">
    <w:abstractNumId w:val="3"/>
  </w:num>
  <w:num w:numId="7">
    <w:abstractNumId w:val="13"/>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0"/>
  </w:num>
  <w:num w:numId="12">
    <w:abstractNumId w:val="7"/>
  </w:num>
  <w:num w:numId="13">
    <w:abstractNumId w:val="1"/>
  </w:num>
  <w:num w:numId="14">
    <w:abstractNumId w:val="5"/>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7B"/>
    <w:rsid w:val="001E3AF3"/>
    <w:rsid w:val="002373B3"/>
    <w:rsid w:val="004306A2"/>
    <w:rsid w:val="005A0D20"/>
    <w:rsid w:val="005D7FE2"/>
    <w:rsid w:val="005E1C38"/>
    <w:rsid w:val="00654F50"/>
    <w:rsid w:val="00670FEF"/>
    <w:rsid w:val="00736972"/>
    <w:rsid w:val="007E6F67"/>
    <w:rsid w:val="008C5204"/>
    <w:rsid w:val="008D79E3"/>
    <w:rsid w:val="009960A0"/>
    <w:rsid w:val="009C0088"/>
    <w:rsid w:val="009C6420"/>
    <w:rsid w:val="00A67129"/>
    <w:rsid w:val="00A839C6"/>
    <w:rsid w:val="00B00BD7"/>
    <w:rsid w:val="00B033B0"/>
    <w:rsid w:val="00B443D7"/>
    <w:rsid w:val="00B50C33"/>
    <w:rsid w:val="00BC4512"/>
    <w:rsid w:val="00C119B5"/>
    <w:rsid w:val="00C44724"/>
    <w:rsid w:val="00C85AFD"/>
    <w:rsid w:val="00CC39F1"/>
    <w:rsid w:val="00CC670B"/>
    <w:rsid w:val="00CD207B"/>
    <w:rsid w:val="00CE70BA"/>
    <w:rsid w:val="00E90289"/>
    <w:rsid w:val="00F15FE0"/>
    <w:rsid w:val="00F3133B"/>
    <w:rsid w:val="00FB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247AD"/>
  <w14:defaultImageDpi w14:val="300"/>
  <w15:docId w15:val="{4730310F-D0A0-43DD-B1B6-09C1AF0C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E2"/>
    <w:pPr>
      <w:spacing w:after="160" w:line="259" w:lineRule="auto"/>
    </w:pPr>
    <w:rPr>
      <w:rFonts w:eastAsiaTheme="minorHAnsi"/>
      <w:sz w:val="22"/>
      <w:szCs w:val="22"/>
    </w:rPr>
  </w:style>
  <w:style w:type="paragraph" w:styleId="Heading1">
    <w:name w:val="heading 1"/>
    <w:basedOn w:val="Normal"/>
    <w:link w:val="Heading1Char"/>
    <w:uiPriority w:val="9"/>
    <w:qFormat/>
    <w:rsid w:val="00B033B0"/>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B033B0"/>
    <w:pPr>
      <w:spacing w:before="100" w:beforeAutospacing="1" w:after="100" w:afterAutospacing="1" w:line="240" w:lineRule="auto"/>
      <w:outlineLvl w:val="1"/>
    </w:pPr>
    <w:rPr>
      <w:rFonts w:ascii="Calibri" w:eastAsia="Times New Roman" w:hAnsi="Calibri" w:cs="Calibri"/>
      <w:b/>
      <w:bCs/>
      <w:sz w:val="36"/>
      <w:szCs w:val="36"/>
    </w:rPr>
  </w:style>
  <w:style w:type="paragraph" w:styleId="Heading3">
    <w:name w:val="heading 3"/>
    <w:basedOn w:val="Normal"/>
    <w:link w:val="Heading3Char"/>
    <w:uiPriority w:val="9"/>
    <w:semiHidden/>
    <w:unhideWhenUsed/>
    <w:qFormat/>
    <w:rsid w:val="00B033B0"/>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A2"/>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306A2"/>
  </w:style>
  <w:style w:type="paragraph" w:styleId="Footer">
    <w:name w:val="footer"/>
    <w:basedOn w:val="Normal"/>
    <w:link w:val="FooterChar"/>
    <w:uiPriority w:val="99"/>
    <w:unhideWhenUsed/>
    <w:rsid w:val="004306A2"/>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306A2"/>
  </w:style>
  <w:style w:type="paragraph" w:styleId="BalloonText">
    <w:name w:val="Balloon Text"/>
    <w:basedOn w:val="Normal"/>
    <w:link w:val="BalloonTextChar"/>
    <w:uiPriority w:val="99"/>
    <w:semiHidden/>
    <w:unhideWhenUsed/>
    <w:rsid w:val="004306A2"/>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306A2"/>
    <w:rPr>
      <w:rFonts w:ascii="Lucida Grande" w:hAnsi="Lucida Grande" w:cs="Lucida Grande"/>
      <w:sz w:val="18"/>
      <w:szCs w:val="18"/>
    </w:rPr>
  </w:style>
  <w:style w:type="character" w:styleId="Hyperlink">
    <w:name w:val="Hyperlink"/>
    <w:basedOn w:val="DefaultParagraphFont"/>
    <w:uiPriority w:val="99"/>
    <w:unhideWhenUsed/>
    <w:rsid w:val="004306A2"/>
    <w:rPr>
      <w:color w:val="0000FF" w:themeColor="hyperlink"/>
      <w:u w:val="single"/>
    </w:rPr>
  </w:style>
  <w:style w:type="table" w:styleId="TableGrid">
    <w:name w:val="Table Grid"/>
    <w:basedOn w:val="TableNormal"/>
    <w:uiPriority w:val="39"/>
    <w:rsid w:val="005D7FE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C33"/>
    <w:pPr>
      <w:ind w:left="720"/>
      <w:contextualSpacing/>
    </w:pPr>
  </w:style>
  <w:style w:type="paragraph" w:styleId="NormalWeb">
    <w:name w:val="Normal (Web)"/>
    <w:basedOn w:val="Normal"/>
    <w:uiPriority w:val="99"/>
    <w:semiHidden/>
    <w:unhideWhenUsed/>
    <w:rsid w:val="00F15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FE0"/>
    <w:rPr>
      <w:b/>
      <w:bCs/>
    </w:rPr>
  </w:style>
  <w:style w:type="character" w:customStyle="1" w:styleId="Heading1Char">
    <w:name w:val="Heading 1 Char"/>
    <w:basedOn w:val="DefaultParagraphFont"/>
    <w:link w:val="Heading1"/>
    <w:uiPriority w:val="9"/>
    <w:rsid w:val="00B033B0"/>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B033B0"/>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B033B0"/>
    <w:rPr>
      <w:rFonts w:ascii="Calibri" w:eastAsia="Times New Roman"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2064">
      <w:bodyDiv w:val="1"/>
      <w:marLeft w:val="0"/>
      <w:marRight w:val="0"/>
      <w:marTop w:val="0"/>
      <w:marBottom w:val="0"/>
      <w:divBdr>
        <w:top w:val="none" w:sz="0" w:space="0" w:color="auto"/>
        <w:left w:val="none" w:sz="0" w:space="0" w:color="auto"/>
        <w:bottom w:val="none" w:sz="0" w:space="0" w:color="auto"/>
        <w:right w:val="none" w:sz="0" w:space="0" w:color="auto"/>
      </w:divBdr>
    </w:div>
    <w:div w:id="581135988">
      <w:bodyDiv w:val="1"/>
      <w:marLeft w:val="0"/>
      <w:marRight w:val="0"/>
      <w:marTop w:val="0"/>
      <w:marBottom w:val="0"/>
      <w:divBdr>
        <w:top w:val="none" w:sz="0" w:space="0" w:color="auto"/>
        <w:left w:val="none" w:sz="0" w:space="0" w:color="auto"/>
        <w:bottom w:val="none" w:sz="0" w:space="0" w:color="auto"/>
        <w:right w:val="none" w:sz="0" w:space="0" w:color="auto"/>
      </w:divBdr>
    </w:div>
    <w:div w:id="1271399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r20.rs6.net%2Ftn.jsp%3Ff%3D001qpIuVAUgGqgFLRyDC2spRx1dL3zFOYujNYKo4GD6mxhWydOnrhH4HG6VRctPqLKGC2jdsvaj5227YVd6RmT2Lsz3Z15gH-cWJElcO2_YSepfFl2eJxZXcAgR0OflLXLdrZX_gg-73WTHSpdN_78L6q24wOJ9smRfxSZSFDJ5oUxoeCIoO_-xer3RdPeu_gUoDS6TZombpQq0OVuGnevUJGDuzE8qT6_t3fO_hxFj8ruWHRIB8tA-REYLpFqFlvwKSjFCWwNrU-H3YzzFuplG2gbtVO0HPHrkD0UVziH9DylBYqNmOVG2ZGMXD1vTmgnyVeBL59S4-ULmfs9YdLdhmzRruDLmoj9XoFlopAyBGJ4zUgGp5LeUUZoRoghQF2PehY0S-8R0lZmHb3PEK-vOXjtDgVtzEj6bhmN4KuJKNfvoZs1nnv7MMZt8q7kmBk3zMTuRpkvc1yHGAQkmXRblURhzn7aAUfy16i9XB8Ua5SY%3D%26c%3DYIHd97QrrKvwEFO0godL1dNB716Cwg7mRwsnpOEs284nF4nCNWrqSw%3D%3D%26ch%3DlrhDjpAfrMGv_4aRL7ogVhBN4Btd0RPbcNTiUiPi_mIEeXUk6Neb9g%3D%3D&amp;data=02%7C01%7C%7Ce27b3c97e9a54a48c66f08d7cea6d654%7C6989b31f6e984141bb9bb6ab15bc5e52%7C0%7C0%7C637205088276560902&amp;sdata=vhrLSWaOVhT5WmBEGGp8d0PJ037IG%2FyULB2HJmlofps%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0.safelinks.protection.outlook.com/?url=http%3A%2F%2Fr20.rs6.net%2Ftn.jsp%3Ff%3D001qpIuVAUgGqgFLRyDC2spRx1dL3zFOYujNYKo4GD6mxhWydOnrhH4HG6VRctPqLKG4NZOsZwsJdU0LXZOENz5bARlCUdfwOIRQ8Q8Wj_68mVIHm_E7hyy8LZ7K8Il7jmluA9oXCU3KrCWFnzLFUUjce7Qh1wCkhIUMytcvt6lrD8AF5kGLdDcgc6kkbKpt_32VyRVxldHVfcJKHx9fKCgL0AmWzORiFKk_CQVhWjti41w4OyzanDVKnK5-JLJPy4Ov8Qp1Y3ubautPQcifsIsTGmDdCddqcbU7B5CdMD6gXS_ZLBSviJ1otUuiqgWknYxHMqqv--utv5mPqa1b0pgaoMnff4zTF-N07sbBwN21I83cepuVPRV3fcBZdYxrPY3XGYgJjl0SSaT3VB9vu4CBDtjR2mLU239SBPolDKfRhrYBo7OO_jBbmpXTRcnKDEn7o5Mdp3hgbo%3D%26c%3DYIHd97QrrKvwEFO0godL1dNB716Cwg7mRwsnpOEs284nF4nCNWrqSw%3D%3D%26ch%3DlrhDjpAfrMGv_4aRL7ogVhBN4Btd0RPbcNTiUiPi_mIEeXUk6Neb9g%3D%3D&amp;data=02%7C01%7C%7Ce27b3c97e9a54a48c66f08d7cea6d654%7C6989b31f6e984141bb9bb6ab15bc5e52%7C0%7C0%7C637205088276570899&amp;sdata=AgANVf%2Fcg4Q2huKskEyaLf2RkQ2j7hueGU5b7oQQmHU%3D&amp;reserve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aratogabenefi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Web\Downloads\Saratoga-Word%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3EE3-E91E-4FA7-BF34-219A42C5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Saratoga-Word  (1).dotx</Template>
  <TotalTime>1</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First Impressions Advertising Inc.</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Webb</dc:creator>
  <cp:keywords/>
  <dc:description/>
  <cp:lastModifiedBy>Amy Webb</cp:lastModifiedBy>
  <cp:revision>2</cp:revision>
  <cp:lastPrinted>2020-03-23T19:48:00Z</cp:lastPrinted>
  <dcterms:created xsi:type="dcterms:W3CDTF">2020-03-23T19:49:00Z</dcterms:created>
  <dcterms:modified xsi:type="dcterms:W3CDTF">2020-03-23T19:49:00Z</dcterms:modified>
</cp:coreProperties>
</file>